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06" w:rsidRPr="007F7306" w:rsidRDefault="007F7306" w:rsidP="007F7306">
      <w:pPr>
        <w:spacing w:after="0" w:line="240" w:lineRule="auto"/>
        <w:jc w:val="right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Медицинские новости. – 2016. – №3. – С. 34-39.</w:t>
      </w:r>
    </w:p>
    <w:p w:rsidR="007F7306" w:rsidRDefault="007F7306" w:rsidP="007F7306">
      <w:pPr>
        <w:spacing w:before="150" w:after="150" w:line="240" w:lineRule="auto"/>
        <w:outlineLvl w:val="2"/>
        <w:rPr>
          <w:rFonts w:ascii="Arial" w:eastAsia="Times New Roman" w:hAnsi="Arial" w:cs="Arial"/>
          <w:color w:val="316F98"/>
          <w:sz w:val="26"/>
          <w:szCs w:val="26"/>
          <w:lang w:eastAsia="ru-RU"/>
        </w:rPr>
      </w:pPr>
    </w:p>
    <w:p w:rsidR="007F7306" w:rsidRPr="007F7306" w:rsidRDefault="007F7306" w:rsidP="007F7306">
      <w:pPr>
        <w:spacing w:before="150" w:after="150" w:line="240" w:lineRule="auto"/>
        <w:outlineLvl w:val="2"/>
        <w:rPr>
          <w:rFonts w:ascii="Arial" w:eastAsia="Times New Roman" w:hAnsi="Arial" w:cs="Arial"/>
          <w:color w:val="316F98"/>
          <w:sz w:val="26"/>
          <w:szCs w:val="26"/>
          <w:lang w:eastAsia="ru-RU"/>
        </w:rPr>
      </w:pPr>
      <w:r w:rsidRPr="007F7306">
        <w:rPr>
          <w:rFonts w:ascii="Arial" w:eastAsia="Times New Roman" w:hAnsi="Arial" w:cs="Arial"/>
          <w:color w:val="316F98"/>
          <w:sz w:val="26"/>
          <w:szCs w:val="26"/>
          <w:lang w:eastAsia="ru-RU"/>
        </w:rPr>
        <w:t xml:space="preserve">Адаменко Е.И., </w:t>
      </w:r>
      <w:proofErr w:type="spellStart"/>
      <w:r w:rsidRPr="007F7306">
        <w:rPr>
          <w:rFonts w:ascii="Arial" w:eastAsia="Times New Roman" w:hAnsi="Arial" w:cs="Arial"/>
          <w:color w:val="316F98"/>
          <w:sz w:val="26"/>
          <w:szCs w:val="26"/>
          <w:lang w:eastAsia="ru-RU"/>
        </w:rPr>
        <w:t>Силивончик</w:t>
      </w:r>
      <w:proofErr w:type="spellEnd"/>
      <w:r w:rsidRPr="007F7306">
        <w:rPr>
          <w:rFonts w:ascii="Arial" w:eastAsia="Times New Roman" w:hAnsi="Arial" w:cs="Arial"/>
          <w:color w:val="316F98"/>
          <w:sz w:val="26"/>
          <w:szCs w:val="26"/>
          <w:lang w:eastAsia="ru-RU"/>
        </w:rPr>
        <w:t xml:space="preserve"> Н.Н.</w:t>
      </w:r>
    </w:p>
    <w:p w:rsidR="007F7306" w:rsidRPr="007F7306" w:rsidRDefault="007F7306" w:rsidP="007F7306">
      <w:pPr>
        <w:spacing w:after="150" w:line="240" w:lineRule="auto"/>
        <w:outlineLvl w:val="0"/>
        <w:rPr>
          <w:rFonts w:ascii="Arial" w:eastAsia="Times New Roman" w:hAnsi="Arial" w:cs="Arial"/>
          <w:color w:val="316F98"/>
          <w:kern w:val="36"/>
          <w:sz w:val="38"/>
          <w:szCs w:val="38"/>
          <w:lang w:eastAsia="ru-RU"/>
        </w:rPr>
      </w:pPr>
      <w:proofErr w:type="spellStart"/>
      <w:r w:rsidRPr="007F7306">
        <w:rPr>
          <w:rFonts w:ascii="Arial" w:eastAsia="Times New Roman" w:hAnsi="Arial" w:cs="Arial"/>
          <w:color w:val="316F98"/>
          <w:kern w:val="36"/>
          <w:sz w:val="38"/>
          <w:szCs w:val="38"/>
          <w:lang w:eastAsia="ru-RU"/>
        </w:rPr>
        <w:t>Стиллен</w:t>
      </w:r>
      <w:proofErr w:type="spellEnd"/>
      <w:r w:rsidRPr="007F7306">
        <w:rPr>
          <w:rFonts w:ascii="Arial" w:eastAsia="Times New Roman" w:hAnsi="Arial" w:cs="Arial"/>
          <w:color w:val="316F98"/>
          <w:kern w:val="36"/>
          <w:sz w:val="38"/>
          <w:szCs w:val="38"/>
          <w:lang w:eastAsia="ru-RU"/>
        </w:rPr>
        <w:t>® в профилактике поражений желудочно-кишечного тракта, связанных с приемом нестероидных противовоспалительных средств и аспирина: рекомендации для практикующих врачей</w:t>
      </w:r>
    </w:p>
    <w:p w:rsidR="007F7306" w:rsidRDefault="007F7306" w:rsidP="007F7306">
      <w:pPr>
        <w:spacing w:before="150" w:after="150" w:line="240" w:lineRule="auto"/>
        <w:outlineLvl w:val="2"/>
        <w:rPr>
          <w:rFonts w:ascii="Arial" w:eastAsia="Times New Roman" w:hAnsi="Arial" w:cs="Arial"/>
          <w:color w:val="316F98"/>
          <w:sz w:val="26"/>
          <w:szCs w:val="26"/>
          <w:lang w:eastAsia="ru-RU"/>
        </w:rPr>
      </w:pPr>
      <w:r w:rsidRPr="007F7306">
        <w:rPr>
          <w:rFonts w:ascii="Arial" w:eastAsia="Times New Roman" w:hAnsi="Arial" w:cs="Arial"/>
          <w:color w:val="316F98"/>
          <w:sz w:val="26"/>
          <w:szCs w:val="26"/>
          <w:lang w:eastAsia="ru-RU"/>
        </w:rPr>
        <w:t>Белорусский государственный медицинский университет, Минск, Белорусская медицинская академия последипломного образования, Минск</w:t>
      </w:r>
    </w:p>
    <w:p w:rsidR="007F7306" w:rsidRPr="007F7306" w:rsidRDefault="007F7306" w:rsidP="007F7306">
      <w:pPr>
        <w:spacing w:before="150" w:after="150" w:line="240" w:lineRule="auto"/>
        <w:outlineLvl w:val="2"/>
        <w:rPr>
          <w:rFonts w:ascii="Arial" w:eastAsia="Times New Roman" w:hAnsi="Arial" w:cs="Arial"/>
          <w:color w:val="316F98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E9C15" wp14:editId="30316AB8">
            <wp:extent cx="5940425" cy="4162855"/>
            <wp:effectExtent l="0" t="0" r="3175" b="9525"/>
            <wp:docPr id="2" name="Рисунок 2" descr="http://www.mednovosti.by/UserFiles_ypocom/Image/statji_MN/2016/3/sti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novosti.by/UserFiles_ypocom/Image/statji_MN/2016/3/still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Adamenka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 xml:space="preserve"> A.I.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vertAlign w:val="superscript"/>
          <w:lang w:val="en-US" w:eastAsia="ru-RU"/>
        </w:rPr>
        <w:t>1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 xml:space="preserve">,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Silivontchik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 xml:space="preserve"> N.N.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vertAlign w:val="superscript"/>
          <w:lang w:val="en-US" w:eastAsia="ru-RU"/>
        </w:rPr>
        <w:t>2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vertAlign w:val="superscript"/>
          <w:lang w:val="en-US" w:eastAsia="ru-RU"/>
        </w:rPr>
        <w:t>1Belarusian State Medical University, Minsk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vertAlign w:val="superscript"/>
          <w:lang w:val="en-US" w:eastAsia="ru-RU"/>
        </w:rPr>
        <w:t>2Belarusian Medical Academy of Post-Graduate Education, Minsk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Stillen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vertAlign w:val="superscript"/>
          <w:lang w:val="en-US" w:eastAsia="ru-RU"/>
        </w:rPr>
        <w:t>TM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vertAlign w:val="superscript"/>
          <w:lang w:val="en-US" w:eastAsia="ru-RU"/>
        </w:rPr>
        <w:t> 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in prevention of nonsteroidal anti-inflammatory drugs-associated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gastropathy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: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recommendations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for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practicing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physician</w:t>
      </w:r>
      <w:proofErr w:type="spellEnd"/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Резюме.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Нестероидные противовоспалительные средства (НПВС) входят в лидирующую группу лекарственных средств не только по частоте использования, но и по частоте побочных эффектов. В статье изложены основные механизмы развития поражений желудочно-кишечного тракта, связанные с приемом ацетилсалициловой кислоты и НПВС, клинико-эндоскопическая характеристика проявлений, факторы риска НПВС-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, методы лечения и профилактики, 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lastRenderedPageBreak/>
        <w:t xml:space="preserve">представлена информация о новом растительном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цитопротекторе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под торговым названием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® (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StillenTM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).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Ключевые слова: нестероидные противовоспалительные средства, ацетилсалициловая кислота, НПВС-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гастропатия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 xml:space="preserve">, профилактика, 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цитопротекторы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Медицинские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 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новости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. – 2016. – №3. – </w:t>
      </w:r>
      <w:proofErr w:type="gram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С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. 34</w:t>
      </w:r>
      <w:proofErr w:type="gram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val="en-US" w:eastAsia="ru-RU"/>
        </w:rPr>
        <w:t>–39.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>Summary.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Nonsteroidal anti-inflammatory drugs (NSAIDs) are included into the leading medicines of not only on use frequency, but also on the frequency of side effects. In this article </w:t>
      </w:r>
      <w:proofErr w:type="gram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is provided</w:t>
      </w:r>
      <w:proofErr w:type="gram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the main mechanisms of digestive tract damages connected with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acetilsalicylic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acid and NSAIDs, clinic-endoscopic findings, risk factors of NSAID-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gastropathy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, prevention and treatment strategy, information on a new vegetable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cytoprotective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agent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StillenTM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>Keywords: nonsteroidal anti-inflammatory drugs, acetylsalicylic acid, NSAID-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>gastropathy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 xml:space="preserve">, prevention, 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>cytoprotective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val="en-US" w:eastAsia="ru-RU"/>
        </w:rPr>
        <w:t xml:space="preserve"> agents.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Meditsinskie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novosti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. – 2016. – N3. – P. 34–39.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Нестероидные противовоспалительные средства (НПВС), в том числе ацетилсалициловая кислота (АСК), прочно вошли в повседневную практику. Согласно литературным данным, около 1,2% населения во всем мире принимает НПВС регулярно [35], намного больше людей принимают их периодически как обезболивающие и противовоспалительные лекарственные средства (ЛС). НПВС чрезвычайно широко востребованы в ревматологической, кардиологической практике, для лечения боли и воспаления. С каждым годом показания для назначения НПВС, как и их количество, расширяются. Так, обсуждается возможность применения НПВС для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хемопревенции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колоректального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рака [34].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НПВС входят в лидирующую группу не только по частоте использования, но и по частоте побочных эффектов, в том числе серьезных. НПВС индуцируют изменения слизистой оболочки (СО) желудка и двенадцатиперстной кишки, которые в целом определяются термином «НПВС-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гастропатия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». Наряду с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Нelicobacter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pylori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(Н. </w:t>
      </w:r>
      <w:proofErr w:type="spellStart"/>
      <w:proofErr w:type="gram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pylori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)НПВС</w:t>
      </w:r>
      <w:proofErr w:type="gram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являются ведущим этиологическим фактором развития язвы желудка и двенадцатиперстной кишки, а также гастроинтестинальных кровотечений и перфораций. Показано, что в течение 1 года лечения НПВС у 2–5% у пациентов возникают субэпителиальные геморрагии, эрозии и язвы желудка, реже – двенадцатиперстной кишки, протекающие часто бессимптомно, выявляемые при эндоскопическом исследовании, с риском кровотечений и перфораций [1, 4–6, 8, 9, 29]. Согласно анализу, проведенному Управлением по надзору за качеством пищевых продуктов и лекарственных средств США (FDA), ежегодно поражение ЖКТ, связанное с приемом НПВС, становится причиной 100–200 тыс. госпитализаций и 10–20 тыс. смертельных исходов [15]. Исследования, проведенные в Республике Беларусь, показали, что НПВС-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гастропатия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развивается у 30,5% пациентов, регулярно принимающих НПВС [2].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В целом, у пациентов, принимающих НПВС, абсолютный риск гастроэнтерологических осложнений увеличивается в 7 раз, потребность в стационарном лечении – в 6 раз, а смертность в 2 раза выше, чем в популяции [8]. Все вышеперечисленное привлекает особое внимание к проблеме безопасного применения НПВС, остающейся одной из наиболее актуальных в современной клинической медицине.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Патофизиология поражения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желудочно-кишечного тракта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под влиянием НПВС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>При приеме НПВС может поражаться любой отдел ЖКТ. По сравнению с желудком поражения других отделов ЖКТ – пищевода и кишечника («НПВС-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энтеропатия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») – обсуждаются реже, однако также занимают важное место в клинической практике. Основной механизм поражения 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ЖКТ 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?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нарушение защитного барьера СО. Патологическое воздействие НПВС на ЖКТ осуществляется на нескольких уровнях: во время всасывания при любом способе введения (через рот или прямую кишку); вследствие системного воздействия после всасывания; после экскреции печенью при попадании НПВС с желчью в кишечник; при повторном попадании в желудок вследствие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дуодено-гастрального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рефлюкса и в кишечник в процессе </w:t>
      </w:r>
      <w:proofErr w:type="spellStart"/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энтеро-гепатической</w:t>
      </w:r>
      <w:proofErr w:type="spellEnd"/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циркуляции.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Эффекты НПВС реализуются через местные и системные механизмы, причем ведущая роль отводится системным, к которым относятся выработка простагландинов и некоторых других факторов (фактор некроза опухолей, стимуляция лейкоцитов и образование активных форм кислорода) [4, 5, 9, 26, 29].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В ЖКТ простагландины поддерживают эффективность защитного барьера, суммарно их эффект можно определить термином «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цитопротекция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». СО желудка подвергается действию различных агрессивных факторов, в том числе НПВС. Для защиты от повреждений стенкой желудка выделяются собственные простагландины, которые стимулируют продукцию адекватной по количеству и качеству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гастродуоденальной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слизи, секрецию в просвет желудка бикарбонатов, увеличивают кровоток, обеспечивают регенерацию СО. Недостаток простагландинов решающим образом снижает защитные свойства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гастродуоденальной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СО.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Повреждающие эффекты НПВС обусловлены их способностью тормозить синтез простагландинов, что связано с основным фармакологическим эффектом НПВС и осуществляется через ингибирование активности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циклооксигеназы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(ЦОГ). В организме человека имеется два изофермента ЦОГ – ЦОГ-1 (физиологическая – присутствует в ЖКТ, почках, тромбоцитах) и ЦОГ-2 (индуцируемая – в норме присутствует в тканях в очень малом количестве, но резко возрастает при воспалении). Положительные терапевтические эффекты НПВС связываются с их способностью ингибировать ЦОГ-2, побочные – с ингибированием ЦОГ-1.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Все НПВС подавляют активность обеих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изоформ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ЦОГ, но в неодинаковой степени, что определяет их безопасность в отношении ЖКТ. В последнее время в качестве главного классификационного признака НПВС используется селективность в отношении ЦОГ (табл. 1).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1. Классификации нестероидных противовоспалительных средств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</w:tblGrid>
      <w:tr w:rsidR="007F7306" w:rsidRPr="007F7306" w:rsidTr="007F730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Российская классификация [9]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Классификация FDA [37]</w:t>
            </w:r>
          </w:p>
        </w:tc>
      </w:tr>
      <w:tr w:rsidR="007F7306" w:rsidRPr="007F7306" w:rsidTr="007F730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Неселективные (неспецифические)</w:t>
            </w:r>
          </w:p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ингибиторы ЦОГ-1 и ЦОГ-2: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ацеклофенак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ацетилсалициловая кислота,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ибупрофен,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lastRenderedPageBreak/>
              <w:t>набуметон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напроксен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пироксикам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сулиндак</w:t>
            </w:r>
            <w:proofErr w:type="spellEnd"/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lastRenderedPageBreak/>
              <w:t>Неселективные НПВС: 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ацеклофенак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ацетилсалициловая кислота,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ибупрофен,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набуметон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напроксен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пироксикам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сулиндак</w:t>
            </w:r>
            <w:proofErr w:type="spellEnd"/>
          </w:p>
        </w:tc>
      </w:tr>
      <w:tr w:rsidR="007F7306" w:rsidRPr="007F7306" w:rsidTr="007F730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lastRenderedPageBreak/>
              <w:t>Препараты с преимущественным</w:t>
            </w:r>
          </w:p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влиянием на ЦОГ-2: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ЦОГ-2 селективные НПВС (</w:t>
            </w:r>
            <w:proofErr w:type="spellStart"/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коксибы</w:t>
            </w:r>
            <w:proofErr w:type="spellEnd"/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):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вальдекоксиб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целекоксиб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эторикоксиб</w:t>
            </w:r>
            <w:proofErr w:type="spellEnd"/>
          </w:p>
        </w:tc>
      </w:tr>
      <w:tr w:rsidR="007F7306" w:rsidRPr="007F7306" w:rsidTr="007F730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Коксибы</w:t>
            </w:r>
            <w:proofErr w:type="spellEnd"/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 xml:space="preserve"> (специфические ингибиторы ЦОГ-2):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вальдекоксиб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целекоксиб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эторикоксиб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</w:tr>
    </w:tbl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Относительно безопасности НПВС и рисков гастроинтестинальных осложнений выполнено огромное число исследований. Согласно данным большинства из них, наиболее безопасными ЛС среди неселективных (неспецифических) ингибиторов ЦОГ-1 и ЦОГ-2 являются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ацеклофенак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ибупрофен,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диклофенак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а наиболее токсичными –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индометацин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кеторолак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[9, 15, 29].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Клинико-эндоскопическая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характеристика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НПВС-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Побочные желудочные симптомы на фоне приема НПВС – тяжесть или боли в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эпигастрии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(желудочная диспепсия), а также тошнота, рвота, изжога – отмечаются у 30–40% потребителей, чаще при длительном приеме, и в 5–15% случаев могут стать причиной прерывания лечения уже в первые 6 месяцев. Клиническая симптоматика слабо коррелируют с истинной тяжестью поражения СО. Так, у 40% пациентов с эрозиями клинические симптомы отсутствуют, а у 50% с их наличием патологических изменений при эндоскопии не обнаруживается [5–7, 9, 39]. Таким образом, можно сказать, что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гастропатия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 значительной степени феномен эндоскопический.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Эндоскопические характеристики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включают субэпителиальные геморрагии, эрозии, язвы, кровотечение. Эрозивно-язвенные изменения имеют некоторые особенности: более часто локализуются в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антральном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отделе желудка, эндоскопическая картина более соответствует «острой язве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» 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?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определяется небольшая неглубокая язва, которая может заживать без рубца.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Особенностью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является ее склонность к частому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рецидивированию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при продолжении приема ЛС. Так, частота рецидивов НПВС-индуцированных язв и множественных эрозий у пациентов в контрольных группах исследований SCUR, ASTRONAUT, OMNIUM и исследования профилактического эффекта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лансопразола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за период наблюдения 3–6 месяцев составила от 16 до 49% [19, 20, 23, 36].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Клинический диагноз у пациента с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гастропатией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формируется на основании формы патологии (диспепсия, гастрит, эрозии, язва, осложнения) с указанием на связь с НПВС/АСК на основе МКБ-10.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МКБ-10. Лекарственные средства, медикаменты и биологические вещества, являющиеся причиной неблагоприятных реакций при терапевтическом применении (Y</w:t>
      </w:r>
      <w:proofErr w:type="gram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40 ?Y</w:t>
      </w:r>
      <w:proofErr w:type="gram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45)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Y45 Анальгезирующие, жаропонижающие и противовоспалительные средства.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Y45.1 Салицилаты.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Y45.2 Производные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пропионовой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кислоты.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>Y45.3           Другие нестероидные противовоспалительные средства [NSAID].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Y45.5 Противоревматические средства.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Y45.8           Другие анальгезирующие, жаропонижающие и противовоспалительные средства.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Y45.9           Анальгезирующие, жаропонижающие и противовоспалительные средства неуточненные.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Факторы риска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Факторы риска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 достаточной степени изучены и должны быть выявлены и учтены при назначении НПВС (табл. 2) [1–10, 15, 16, 20, 22–24, 29, 32].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2. Факторы риска НПВП-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40"/>
      </w:tblGrid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Гастродуоденальные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 язвы и их осложнения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 анамнезе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Пожилой и старческий возраст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После 65 лет сравнительный риск (RR) = 2,5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· У лиц старших возрастных групп, особенно женщин, НПВС-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гастропатия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 чаще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по сравнению с молодыми протекает латентно и сопровождается угрожающими жизни осложнениями (кровотечение, перфорация).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· Пациенты пожилого возраста наиболее подвержены НПВС-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гастропатии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, что связано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 многими факторами: низкая регенераторная способность слизистой оболочки,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снижение скорости элиминации НПВС, прием больших относительно массы тела доз НПВС, частый одновременный прием других лекарств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Инфекция </w:t>
            </w:r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>pylori</w:t>
            </w:r>
            <w:proofErr w:type="spellEnd"/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> </w:t>
            </w: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и НПВС являются независимыми факторами риска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язвообразования</w:t>
            </w:r>
            <w:proofErr w:type="spellEnd"/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Сочетанное применение нескольких НПВП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Сочетание НПВП с АСК или другими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антиагрегантами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Большие дозы НПВП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RR = 4,2 при приеме низких доз аспирина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Использование антагонистов кальциевых каналов, </w:t>
            </w: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lastRenderedPageBreak/>
              <w:t>антикоагулянтов и кортикостероидов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lastRenderedPageBreak/>
              <w:t>RR = 2,5 при дополнительном приеме антагонистов кальциевых каналов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lastRenderedPageBreak/>
              <w:t>RR = 1,8–14,6 при дополнительном приеме ГКС</w:t>
            </w:r>
          </w:p>
        </w:tc>
      </w:tr>
      <w:tr w:rsidR="007F7306" w:rsidRPr="007F7306" w:rsidTr="007F7306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lastRenderedPageBreak/>
              <w:t>Сопутствующие тяжелые заболевания (сердечная недостаточность, артериальная гипертензия,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заболевания печени и почек)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–</w:t>
            </w:r>
          </w:p>
        </w:tc>
      </w:tr>
    </w:tbl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Наибольшая выраженность изменений слизистой и вероятность развития эрозий и язв возникает в первый месяц применения НПВС. Микроскопические изменения СО заметны уже через несколько минут после приема НПВС, однако в любой период применения ЛС риск осложнений не исчезает. Заживление повреждений может наступить при продолжении приема НПВС («желудочная адаптация»), особенно у молодых лиц; процесс заживления происходит быстрее, если больной воздерживается от приема НПВС 1–2 дня в неделю.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Не установлено четкой связи между способом введения ЛС и частотой побочных явлений: свечи, инъекции, таблетки с кишечнорастворимым покрытием, быстрорастворимые,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ретардные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забуференные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формы, 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pro-drugs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(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набуметон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сулиндак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) позволяют избежать только симптоматических побочных эффектов, но существенно не снижают риск эрозивно-язвенных изменений и не оказывают заметного влияния на скорость их заживления на фоне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противоязвенной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терапии. Есть наблюдения, что НПВС в виде ректальных свечей вызывали даже больше осложнений, чем при пероральном приеме (возможно, это объясняется применением ректальных свечей в группе больных с более высокой степенью риска) [5–10, 23, 24].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Проведенные в Республике Беларусь исследования факторов риска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показали, что прогностическое значение в развитии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могут также иметь морфологические характеристики СО желудка (атрофия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фундального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отдела желудка) [3].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Следует подчеркнуть определенную опасность низких доз АСК, которая часто недооценивается (табл. 3).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3. Риск низких доз ацетилсалициловой кислоты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</w:tblGrid>
      <w:tr w:rsidR="007F7306" w:rsidRPr="007F7306" w:rsidTr="007F730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Доза АСК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 xml:space="preserve">Риск </w:t>
            </w:r>
            <w:proofErr w:type="spellStart"/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гастропатии</w:t>
            </w:r>
            <w:proofErr w:type="spellEnd"/>
          </w:p>
        </w:tc>
      </w:tr>
      <w:tr w:rsidR="007F7306" w:rsidRPr="007F7306" w:rsidTr="007F730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75 мг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× 2,3</w:t>
            </w:r>
          </w:p>
        </w:tc>
      </w:tr>
      <w:tr w:rsidR="007F7306" w:rsidRPr="007F7306" w:rsidTr="007F730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150 мг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× 3,2</w:t>
            </w:r>
          </w:p>
        </w:tc>
      </w:tr>
      <w:tr w:rsidR="007F7306" w:rsidRPr="007F7306" w:rsidTr="007F730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375 мг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× 3,9</w:t>
            </w:r>
          </w:p>
        </w:tc>
      </w:tr>
      <w:tr w:rsidR="007F7306" w:rsidRPr="007F7306" w:rsidTr="007F7306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1200 мг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× 6,4</w:t>
            </w:r>
          </w:p>
        </w:tc>
      </w:tr>
    </w:tbl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Забуференные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и кишечнорастворимые формы АСК не уменьшают риск верхних гастроинтестинальных кровотечений. Анализ риска первичных кардиоваскулярных событий у 1000 пациентов с 5% риском их развития в течение 5 лет показал, что прием аспирина позволяет предотвратить от 6 до 20 случаев инфаркта миокарда,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>но сопровождается развитием от 2 до 6 случаев гастроинтестинальных кровотечений и от 0 до 2 случаев геморрагического инсульта [18].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У каждого пациента необходимо на основе выявления и оценки отельных конкретных факторов риска оценивать индивидуальный риск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(табл. 4).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4. Стратификация факторов риска НПВС-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[32]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285"/>
        <w:gridCol w:w="2190"/>
      </w:tblGrid>
      <w:tr w:rsidR="007F7306" w:rsidRPr="007F7306" w:rsidTr="007F7306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Повышенный риск (средний)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7F7306" w:rsidRPr="007F7306" w:rsidTr="007F7306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Нет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факторов риска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≥ 1 фактора риска: неосложненная язва</w:t>
            </w:r>
          </w:p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 анамнезе (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эрадикация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 </w:t>
            </w:r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7F7306">
              <w:rPr>
                <w:rFonts w:ascii="Tahoma" w:eastAsia="Times New Roman" w:hAnsi="Tahoma" w:cs="Tahoma"/>
                <w:i/>
                <w:iCs/>
                <w:color w:val="354D59"/>
                <w:sz w:val="24"/>
                <w:szCs w:val="24"/>
                <w:lang w:eastAsia="ru-RU"/>
              </w:rPr>
              <w:t>pylori</w:t>
            </w:r>
            <w:proofErr w:type="spellEnd"/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проведена); высокие дозы НПВП или их сочетанный прием (включая безрецептурные препараты); сердечно-сосудистые заболевания; сопутствующее использование низких доз аспирина или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антиагрегантов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, ГКС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варфарина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; преклонный возраст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В анамнезе осложненная язва (кровотечение, стеноз или прободение)</w:t>
            </w:r>
          </w:p>
        </w:tc>
      </w:tr>
    </w:tbl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Стратификация факторов риска постоянно совершенствуется, и в 2009 г. Комитетом Американского колледжа гастроэнтерологов (ACG) было опубликовано руководство по предупреждению развития НПВС-зависимых язвенных осложнений, в котором несколько изменены факторы желудочно-кишечного риска и подход к их стратификации (табл. 5) [23].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5. Рекомендации ACG стратификации факторов риска НПВС-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</w:tblGrid>
      <w:tr w:rsidR="007F7306" w:rsidRPr="007F7306" w:rsidTr="007F7306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7F7306" w:rsidRPr="007F7306" w:rsidTr="007F7306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1. В анамнезе осложненная язва (особенно недавно)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1. Возраст &gt;65 лет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Нет факторов риска</w:t>
            </w:r>
          </w:p>
        </w:tc>
      </w:tr>
      <w:tr w:rsidR="007F7306" w:rsidRPr="007F7306" w:rsidTr="007F7306"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2. Множественные (≥2) факторы риска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2. Высокая доза НПВС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</w:tr>
      <w:tr w:rsidR="007F7306" w:rsidRPr="007F7306" w:rsidTr="007F7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3. В анамнезе неосложненная язва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</w:tr>
      <w:tr w:rsidR="007F7306" w:rsidRPr="007F7306" w:rsidTr="007F7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4. Сопутствующий прием АСК (включая малые дозы), кортикостероидов или антикоагулянтов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</w:tr>
    </w:tbl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Учет кардиоваскулярного риска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при обеспечении снижения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желудочно-кишечного риска НПВП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В последние годы областью внимания специалистов стала оценка и учет риска развития кардиоваскулярных осложнений при использовании НПВС. Установлено, что прием НПВС в некоторых случаях может сопровождаться дестабилизацией артериальной гипертензии, прогрессированием сердечной недостаточности и повышением риска развития кардиоваскулярных катастроф. Это связано с эффектами НПВС в отношении синтеза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простациклина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 эндотелии сосудов и продукции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тромбоксана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тромбоцитами с дисбалансом в системе «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тромбоксан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–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простациклин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» в пользу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тромбоксана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угнетением синтеза простагландинов в почках со снижением почечного кровотока и клубочковой фильтрации и другими изменениями, которые могут привести к развитию перечисленных выше осложнений. Из НПВС эти эффекты оказались наименее выраженными у напроксена [4, 22, 38].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 учетом полученных данных при назначении НПВС приходится оценивать не только риски поражения ЖКТ, но и сердечно-сосудистые, при наличии которых НПВС комбинируются с АСК (табл. 6) [23, 24].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Таблица 6. Рекомендации АCG по предупреждению НПВС-зависимых язвенных осложнений с учетом сердечно-сосудистого риска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935"/>
        <w:gridCol w:w="1465"/>
        <w:gridCol w:w="2025"/>
      </w:tblGrid>
      <w:tr w:rsidR="007F7306" w:rsidRPr="007F7306" w:rsidTr="007F7306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Сердечно-</w:t>
            </w:r>
          </w:p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сосудистый риск</w:t>
            </w:r>
          </w:p>
        </w:tc>
        <w:tc>
          <w:tcPr>
            <w:tcW w:w="5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color w:val="354D59"/>
                <w:sz w:val="24"/>
                <w:szCs w:val="24"/>
                <w:lang w:eastAsia="ru-RU"/>
              </w:rPr>
              <w:t>Желудочно-кишечный риск</w:t>
            </w:r>
          </w:p>
        </w:tc>
      </w:tr>
      <w:tr w:rsidR="007F7306" w:rsidRPr="007F7306" w:rsidTr="007F7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Высокий</w:t>
            </w:r>
          </w:p>
        </w:tc>
      </w:tr>
      <w:tr w:rsidR="007F7306" w:rsidRPr="007F7306" w:rsidTr="007F7306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НПВС (наименее </w:t>
            </w: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ульцерогенный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 в минимальной дозе) без назначения других препаратов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НПВС + ИПП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Если возможно – альтернативная терапия или селективные ЦОГ-2 + ИПП</w:t>
            </w:r>
          </w:p>
        </w:tc>
      </w:tr>
      <w:tr w:rsidR="007F7306" w:rsidRPr="007F7306" w:rsidTr="007F7306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b/>
                <w:bCs/>
                <w:i/>
                <w:iCs/>
                <w:color w:val="354D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Напроксен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 + ИПП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proofErr w:type="spellStart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Напроксен</w:t>
            </w:r>
            <w:proofErr w:type="spellEnd"/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 xml:space="preserve"> + ИПП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Избегать НПВС, включая селективные ЦОГ-2.</w:t>
            </w:r>
          </w:p>
          <w:p w:rsidR="007F7306" w:rsidRPr="007F7306" w:rsidRDefault="007F7306" w:rsidP="007F7306">
            <w:pPr>
              <w:spacing w:after="150" w:line="240" w:lineRule="auto"/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</w:pPr>
            <w:r w:rsidRPr="007F7306">
              <w:rPr>
                <w:rFonts w:ascii="Tahoma" w:eastAsia="Times New Roman" w:hAnsi="Tahoma" w:cs="Tahoma"/>
                <w:color w:val="354D59"/>
                <w:sz w:val="24"/>
                <w:szCs w:val="24"/>
                <w:lang w:eastAsia="ru-RU"/>
              </w:rPr>
              <w:t>Альтернативная терапия</w:t>
            </w:r>
          </w:p>
        </w:tc>
      </w:tr>
    </w:tbl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 xml:space="preserve">Таким образом, для пациентов с высоким сердечно-сосудистым риском при необходимости приема НПВС препаратом выбора из всей группы НПВС (кроме АСК) является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напроксен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так как именно это ЛС не усиливает сердечно-сосудистые риски.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Лечение и профилактика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НПВС-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Акценты в лечении НПВС в настоящее время смещены в сторону безопасности, сформированы представления о профилактике и лечении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Общие правила профилактики НПВС-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 [5, 9, 12, 24].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· Хотя местные гастроинтестинальные эффекты НПВС не являются ведущими, рекомендуется принимать НПВС после еды, запивая таблетку достаточным количеством воды. При возможности стоит пропускать в приеме 1–2 дня в неделю (для регенерации СО). Необходимо помнить о том, что альтернативные пути введения НПВС (парентеральный, ректальный) не предохраняют от возможности развития побочных эффектов со стороны ЖКТ.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 xml:space="preserve">· В случаях, когда имеет значение преимущественно анальгезирующий, а не противовоспалительный эффект, целесообразно использовать парацетамол, который не угнетает ЦОГ в слизистой оболочке ЖКТ и потому не вызывает 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гастропатию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 xml:space="preserve">· Лечение следует начинать с менее токсичных НПВС с коротким периодом полувыведения, к которым относятся 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ацеклофенак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 xml:space="preserve">, ибупрофен, 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диклофенак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, или селективных ингибиторов ЦОГ-2. Постепенно увеличивать дозу НПВС, оценивать эффект в течение 5–10 дней и лишь при его отсутствии использовать более токсичный НПВС.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· При обнаружении признаков НПВС-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 xml:space="preserve"> необходимо обсудить вопрос о возможности отказа от приема НПВС. При невозможности прервать лечение – максимально уменьшить среднюю суточную дозу НПВС. В ряде случаев по показаниям – назначение низких доз 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глюкокортикостероидов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· При наличии факторов риска и развитии диспепсических симптомов – проведение эндоскопического исследования.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· При наличии факторов риска – профилактически принимать ЛС, обладающие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гастропротективным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действием.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· 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Монотерапия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 невсасывающимися антацидами,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сукральфатом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 xml:space="preserve">, висмута 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дицитратом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, хотя и может быть использована для купирования симптомов диспепсии, неэффективна в отношении как лечения, так и профилактики НПВС-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Лекарственные средства для лечения и профилактики НПВС-</w:t>
      </w: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Требования к идеальному ЛС 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для предотвращения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вызванного НПВС повреждения ЖКТ были сформулированы еще в 1986 г. [35]: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1) такое ЛС не должно ухудшать течение основного заболевания;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2) не должно мешать противовоспалительному и болеутоляющему эффекту НПВС;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3) должно быть эффективным в борьбе с побочными эффектами, вызванными длительным приемом НПВС;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4) должно купировать кровотечение, вызванное НПВС.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Безопасность и эффективность различных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гастропротективных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мероприятий была оценена в обзоре 40 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рандомизированных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контролируемых исследований [20, 21, 23, 24, 29, 36]. Полученные результаты свидетельствуют, что для профилактики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доказанной следует считать эффективность двойной дозы блокаторов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>Н</w:t>
      </w:r>
      <w:r w:rsidRPr="007F7306">
        <w:rPr>
          <w:rFonts w:ascii="Tahoma" w:eastAsia="Times New Roman" w:hAnsi="Tahoma" w:cs="Tahoma"/>
          <w:color w:val="354D59"/>
          <w:sz w:val="24"/>
          <w:szCs w:val="24"/>
          <w:vertAlign w:val="subscript"/>
          <w:lang w:eastAsia="ru-RU"/>
        </w:rPr>
        <w:t>2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-гистаминорецепторов, стандартной дозы ингибиторов протонной помпы (ИПП)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Современные рекомендации по лечению и профилактике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рекомендуют использовать ИПП в качестве основной группы ЛС ввиду наибольшего количества доказательств их пользы при низком риске побочных эффектов [9, 12, 23, 24, 29]. ИПП, подавляя </w:t>
      </w:r>
      <w:proofErr w:type="spellStart"/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кислото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-образование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в желудке, не оказывают прямого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цитопротективного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действия, однако низкий уровень внутрижелудочного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рН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ухудшает течение НПВС-индуцированных повреждений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гастродуоденальной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СО.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Ингибирование образования активных форм кислорода путем использования антиоксидантов может представлять альтернативный перспективный путь профилактики НПВС-индуцированных эрозивно-язвенных повреждений ЖКТ.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proofErr w:type="spellStart"/>
      <w:r w:rsidRPr="007F7306">
        <w:rPr>
          <w:rFonts w:ascii="Tahoma" w:eastAsia="Times New Roman" w:hAnsi="Tahoma" w:cs="Tahoma"/>
          <w:b/>
          <w:bCs/>
          <w:i/>
          <w:iCs/>
          <w:color w:val="354D59"/>
          <w:sz w:val="24"/>
          <w:szCs w:val="24"/>
          <w:lang w:eastAsia="ru-RU"/>
        </w:rPr>
        <w:t>Гастроцитопротекция</w:t>
      </w:r>
      <w:proofErr w:type="spellEnd"/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Теоретически с учетом эффектов НПВС для профилактики НПВС-индуцированных повреждений слизистой ЖКТ наиболее обосновано применение простагландинов, которые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патогенетически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являются средствами заместительной терапии. Профилактический эффект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синтетического аналога простагландина Е1, был изучен у 8843 больных ревматоидным артритом, получавших НПВС в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рандомизированном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двойном слепом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плацебо-контролированном 6-месячном исследовании MUCOSA. При применении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частота осложнений со стороны ЖКТ снизилась на 26,6%, а частота серьезных подтвержденных осложнений – на 40%. Наибольший эффект был отмечен у пациентов группы высокого желудочно-кишечного риска (у пациентов с язвой в анамнезе риск кровотечения снизился на 50%) [24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].Однако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применение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характеризовалось частым развитием побочных эффектов: желудочной диспепсии, диареи, системной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вазодилатации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(гипотонии, головных болей, гиперемии лица), что особенно существенно для лиц пожилого возраста. В исследованиях подтверждена высокая частота побочных эффектов при применении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– 25% против 10–12% при применении ИПП [35]. Кроме того, число отрицательных моментов его использования дополняют необходимость частого приема (4 раза в день) и высокая стоимость. Поэтому в настоящее время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несмотря на патогенетическое обоснование, редко используется в клинической практике для профилактики и лечения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В 2016 г. на рынке Республики Беларусь для профилактики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зарегистрировано новое лекарственное средство под торговым названием 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 (</w:t>
      </w:r>
      <w:proofErr w:type="spellStart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Stillen</w:t>
      </w: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vertAlign w:val="superscript"/>
          <w:lang w:eastAsia="ru-RU"/>
        </w:rPr>
        <w:t>TM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)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с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цитопротективным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действием, сопоставимым по эффективности с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представляет собой густой экстракт из листьев азиатской полыни (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Artemisiae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Herba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)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и является природным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цитопротектором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Лечебные эффекты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обеспечивает компонент азиатской полыни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Эупатилин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который через ингибирование образования активных форм кислорода и модуляцию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киназы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р38 и NF-KB-зависимых путей подавляет образование и высвобождение медиаторов воспаления в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гастродуоденальной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СО, активирует продукцию простагландинов и слизи [26, 27, 31, 35].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Основные эффекты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были открыты в начале 90-х годов прошлого века, после чего были проведены доклинические и клинические исследования (28 исследований различного уровня), подтвердившие его клиническую эффективность в отношении эрозивно-язвенных поражений ЖКТ и безопасность приема для человека.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lastRenderedPageBreak/>
        <w:t xml:space="preserve">Доказано, что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</w:t>
      </w: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 оказывает лечебный эффект при эрозивно-язвенных поражениях СО желудка и двенадцатиперстной кишки посредством увеличения продукции простагландина Е2 и слизи, также обладает антиоксидантным и противовоспалительным действием.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При этом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не влияет на противовоспалительный или анальгетический эффект НПВС (исследования проведены с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напроксеном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), секрецию желудочного сока и не стимулирует выработку соляной кислоты [35].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bookmarkStart w:id="0" w:name="_GoBack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В 2002 г. препарат был выпущен на рынок Южной Кореи и сразу получил признание на азиатском рынке, где используется для лечения и профилактики не только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но и острых и хронических гастритов, в том числе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Н.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рylori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-ассоциированных.</w:t>
      </w:r>
    </w:p>
    <w:bookmarkEnd w:id="0"/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 xml:space="preserve">В Республике Беларусь </w:t>
      </w:r>
      <w:proofErr w:type="spellStart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 зарегистрирован как средство для профилактики НПВС-индуцированных эрозивно-язвенных поражений желудка и 12-перстной кишки.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Подтверждают клиническую эффективность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результаты нескольких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рандомизированных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контролируемых исследований. Первое было проведено для сравнения эффективности и безопасности применения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доказанно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эффективно устраняет повреждения ЖКТ при приеме НПВС и поэтому был выбран в качестве препарата сравнения. В исследовании приняли участие 266 здоровых добровольцев, выбранных методом случайного отбора, которые принимали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® 60 мг 3 раза в день или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по 200 мкг 3 раза в день в течение 4 недель с эндоскопической оценкой состояния слизистой оболочки желудка и двенадцатиперстной кишки до и в конце лечения. На 4-й неделе суммарные уровни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гастропротекции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при применении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составили 85,1% и 95,2% соответственно с отсутствием достоверной разницы между группами, что указывало на не меньшую эффективность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®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по сравнению с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мизопростолом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Частота побочных явлений в группе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® была достоверно ниже, чем в группе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мизопростола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и составила 56,4% (95% ДИ, 48,0–64,8%) и 69,2% (95% ДИ, 61,3–77,0%) соответственно (Р=0,031) [27].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В другом исследовании сравнивалась эффективность и безопасность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и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мизопростола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в снижении НПВС-индуцированных эрозивно-язвенных поражений СО желудка и двенадцатиперстной кишки с участием 520 пациентов с ревматологическими, неврологическими заболеваниями и болевым синдромом другой этиологии, принимавших НПВС дважды в день в течение 4 недель вместе с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мизопростолом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200 мкг 3</w:t>
      </w:r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 </w:t>
      </w: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раза в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деньили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Стилленом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60 мг 3раза в день. Показано, что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эффективно и надежно предупреждал повреждения СО при 4-недельном приеме НПВС: степень защиты СО желудка в группе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была высокой (81,4%) и не ниже, чем в группе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мизопростола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(89,3%), степень защиты СО двенадцатиперстной кишки и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язвообразования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в течение 4-недельного лечения НПВС достоверно в группах не различались.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Побочные эффекты в группе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® были достоверно реже, как и в предыдущем исследовании (–0,2±2,8 против 1,2±3,2; р&lt;0,0001) [26]. Стоит отметить, что в этом исследовании пациенты с высоким риском развития НПВС-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гастропатии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(в анамнезе осложненная язва: кровотечение, стеноз или прободение) были исключены. В таких ситуациях предпочтительным способом профилактики НПВС-индуцированных поражений ЖКТ остается прием селективного ингибитора ЦОГ-2 с ИПП [23, 26]. Настоящее исследование подчеркивает, что выбор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® более приемлем у пациентов со средним риском осложнений.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lastRenderedPageBreak/>
        <w:t xml:space="preserve">Еще одно исследование было проведено для оценки сравнительной эффективности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®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цетраксата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Cetraxate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 (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Neuer</w:t>
      </w:r>
      <w:r w:rsidRPr="007F7306">
        <w:rPr>
          <w:rFonts w:ascii="Tahoma" w:eastAsia="Times New Roman" w:hAnsi="Tahoma" w:cs="Tahoma"/>
          <w:color w:val="354D59"/>
          <w:sz w:val="24"/>
          <w:szCs w:val="24"/>
          <w:vertAlign w:val="superscript"/>
          <w:lang w:eastAsia="ru-RU"/>
        </w:rPr>
        <w:t>TM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) –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гастропротектор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, разработанный в Японии) при участии 512 добровольцев с эрозивными поражениями слизистой оболочки желудка. Показано, что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Стиллен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® был более эффективен для лечения эрозий СО желудка, чем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цетраксат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, и продемонстрировал высокую степень безопасности в отношении побочных явлений [33].</w:t>
      </w:r>
    </w:p>
    <w:p w:rsidR="007F7306" w:rsidRPr="00873CFE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</w:pP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Изучение эффектов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продолжается. В экспериментальных исследованиях было показано, что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</w:t>
      </w: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 восстанавливает СО пищевода при рефлюкс-эзофагите, предупреждает появление и способствует заживлению эрозий и язв СО, индуцированных приемом этанола [26, 28, 35]. Есть данные о лечебных эффектах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со стороны других органов и систем. Так, показано противовоспалительное и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цитопротективное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действие в отношении поджелудочной железы и печени, получены данные о влиянии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 на моторику нижних отделов кишечника, согласно которым ЛС оказывает спазмолитический эффект [31], изучаются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нефропротективные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 свойства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 xml:space="preserve">®, получены обнадеживающие результаты [30], что демонстрирует высокий терапевтический потенциал 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Стиллена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Таким образом, </w:t>
      </w:r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 xml:space="preserve">анализ имеющихся данных дает основание рассматривать </w:t>
      </w:r>
      <w:proofErr w:type="spellStart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 как эффективное лекарственное средство для профилактики НПВС-индуцированных эрозивно-язвенных поражений слизистой оболочки желудка и двенадцатиперстной кишки с благоприятным профилем безопасности.</w:t>
      </w: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 Это расширяет диапазон терапевтических возможностей и предоставляет практическому врачу новый подход и возможность выбора способа профилактики НПВС-</w:t>
      </w:r>
      <w:proofErr w:type="spellStart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гастропатии</w:t>
      </w:r>
      <w:proofErr w:type="spellEnd"/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.</w:t>
      </w:r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 </w:t>
      </w:r>
      <w:proofErr w:type="spellStart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Стиллен</w:t>
      </w:r>
      <w:proofErr w:type="spellEnd"/>
      <w:r w:rsidRPr="00873CFE">
        <w:rPr>
          <w:rFonts w:ascii="Tahoma" w:eastAsia="Times New Roman" w:hAnsi="Tahoma" w:cs="Tahoma"/>
          <w:b/>
          <w:bCs/>
          <w:color w:val="354D59"/>
          <w:sz w:val="24"/>
          <w:szCs w:val="24"/>
          <w:highlight w:val="yellow"/>
          <w:lang w:eastAsia="ru-RU"/>
        </w:rPr>
        <w:t>® в дозе 60 мг 3 раза в день может быть использован для профилактики НПВС-индуцированных эрозивно-язвенных поражений СО желудка и двенадцатиперстной кишки у пациентов с низким и средним риском</w:t>
      </w:r>
      <w:r w:rsidRPr="00873CFE">
        <w:rPr>
          <w:rFonts w:ascii="Tahoma" w:eastAsia="Times New Roman" w:hAnsi="Tahoma" w:cs="Tahoma"/>
          <w:color w:val="354D59"/>
          <w:sz w:val="24"/>
          <w:szCs w:val="24"/>
          <w:highlight w:val="yellow"/>
          <w:lang w:eastAsia="ru-RU"/>
        </w:rPr>
        <w:t>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center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b/>
          <w:bCs/>
          <w:color w:val="354D59"/>
          <w:sz w:val="24"/>
          <w:szCs w:val="24"/>
          <w:lang w:eastAsia="ru-RU"/>
        </w:rPr>
        <w:t>Л И Т Е Р А Т У Р А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1. 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Биккинина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Г.М.,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Сафуанов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А.Р.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 // Молодой ученый. – 2015. – №7. – С.269–272.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2.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Дикарева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Е.А., Макаренко Е.В.,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Пиманов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С.И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// Вестник ВГМУ. – 2015. – Т.14, №5. – С.39–45.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3. 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Дикарева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Е.А., Макаренко Е.В.,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Пиманов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С.И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// Вестник ВГМУ. – 2015. – Т.14, №5. – С.46–56.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4. 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Драпкина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О.М.,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Гацолаева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Д.С.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// Справочник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поликлинич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 врача. – 2006. – Т.4, №8. – С.24–31.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5. 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Каратеев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А.Е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Фарматека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– 2006. – №6. – С.24–29.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6.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Каратеев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А.Е.,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Яхно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 xml:space="preserve"> Н.Н., Лазебник Л.Б.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и др. Применение нестероидных противовоспалительных препаратов: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клинич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рекоменд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– М.: ИМА-Пресс, 2009. – 167 с.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7. 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Ким В.А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Эксперим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клинич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гастроэнтерол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– 2008. – №8. – С.84–91.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8. 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НасоновЕ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Л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Consilium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Medicum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1999.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Т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.1, №5.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С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.13–18.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9. Ревматология: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клинич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рекоменд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 / под ред.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Е.Л.Насонова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– М.: ГЭОТАР-МЕДИА. – 2011. – 738 с.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10. 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Яковенко А.В., Григорьев П.Я., Яковенко Э.П.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 и др. 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Эксперим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и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клинич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гастроэнтерол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. – 2006. – №2. – С.1–4.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11. 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Adebayo D.,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Bjarnason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I.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// Postgrad. Med. J. – 2006. – Vol.82. – P. 186–191.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lastRenderedPageBreak/>
        <w:t>12. 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Antman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E.M., Bennett J.S., Daugherty A.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Circulation. – 2007. – Vol.115.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.1634–1642.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13. 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Bjanason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I.,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Hayllar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J., Macpherson A.J., Russell S.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// Gastroenterology. – 1993. – Vol.104. – P.1832–1847.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14.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 Chan F.K., Graham D.Y.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// Aliment.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Pharmacol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Ther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 – 2004. – Vol.19. – P.1051–1061.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15. 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Fries J., Kristen N.,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Bennet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M.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et al. // Arthritis Rheum. – 2004. – Vol.50.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.2433–40.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16. 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Fries J.F., Williams C.A., Bloch D.A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et al. // Am. J. Med. – 1991. – Vol.91.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.212–22.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17. 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Goldstein J.L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 // Digestion. – 2004. – Vol.69 (Suppl.1). – P.25–33.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18. 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Hayden M.,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Pignone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M., Phillips C.,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Mulrow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C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 // Ann. Intern. Med. – 2002. – Vol.136. – P.161–172.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19. 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Hawkey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C.J.,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Karrascch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J.A.,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Szczepanski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 L.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N. Engl. J. Med. – 1998. – Vol.338.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.727–734.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20. 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Henry D., Lim L.L., Garcia Rodriguez L.A.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et al. // BMJ. – 1996. – Vol.312, N7046. – P.1563–1566.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21. 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Lain L.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Rew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Gastroenterol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Dis. – 2004. – Vol.4.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.33–41.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22. 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Lanas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A., Garcia-Rodriquez L.A., Arroyo M.T.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et al. // Gut. – 2006. – Vol.55. – P.1731–1738.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23. 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Lanza F., Chan F.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eastAsia="ru-RU"/>
        </w:rPr>
        <w:t>К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., Quigley E.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Am. J.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Gastroenterol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2009. – Vol.104.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.728–738.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24. 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Lanza F.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// Am. J.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Gastroenterol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1998. – Vol.93.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.2037–2046.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25.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Laporte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J.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// Drug Safety. – 2004. – Vol.27. – P.411–420.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26.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 Lee Oh Young, Kang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Dae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-Hwan, Lee Dong Ho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Arch. Pharm. Res. – 2014. – Vol.37.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.1308–1316.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27.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 Lee Kang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Nyeong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, Lee Oh Young, Choi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Myung-Gyu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et al. //J. Korean Med. Sci. – 2011. – Vol.26.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.1074–1080.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28. 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Lim Jae Chun, Park Sun Young, Nam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Yoonjin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et al. // Korean J. Physiol.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Pharmacol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2012– Vol.16.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.313–320.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29. 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Moore R.A., Sheena Derry, Lee S. Simon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et al. // Pain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Pract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2014. – Vol.14.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.378–395.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30. 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Park Jun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Yeon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Dahae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Lee,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Hyuk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-Jai Jang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Evid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Based Complement.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Alternat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Med. – 2015. – Vol.15.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.483–498.</w:t>
      </w:r>
    </w:p>
    <w:p w:rsidR="007F7306" w:rsidRPr="00873CFE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31. 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Seung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-Bum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Ryoo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, Heung-Kwon Oh, Sung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A.Yu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.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</w:t>
      </w:r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et</w:t>
      </w:r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al. // Korean J. Physiol. </w:t>
      </w:r>
      <w:r w:rsidRPr="00873CFE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Pharmacol. – 2014. – Vol.18.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873CFE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.383–390.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32. 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Scheiman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J.M.,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Cryer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B.,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Asaka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M.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Aliment.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Pharmacol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Ther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Symp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 Ser. – 2005. – Vol.1. – P. 26–32.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33. 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Sang Yong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Seol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Myung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Hwan Kim, Jong Sun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Ryu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et al. // World J.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Gastroenterol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. – 2004. – Vol.10.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.2379–2382.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34. 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Shebl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F.M.,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Hsing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A.W.,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Yikyung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Park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 et al. //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PLoS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One. – 2014. – Vol.9. – 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eastAsia="ru-RU"/>
        </w:rPr>
        <w:t>Р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.114–116.</w:t>
      </w:r>
    </w:p>
    <w:p w:rsidR="007F7306" w:rsidRPr="007F7306" w:rsidRDefault="007F7306" w:rsidP="007F7306">
      <w:pPr>
        <w:spacing w:after="15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35. Tae Oh Young,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Byong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Kweon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</w:t>
      </w:r>
      <w:proofErr w:type="spell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Ryu</w:t>
      </w:r>
      <w:proofErr w:type="spell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, Jun I. </w:t>
      </w:r>
      <w:proofErr w:type="spellStart"/>
      <w:proofErr w:type="gramStart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Ko</w:t>
      </w:r>
      <w:proofErr w:type="spellEnd"/>
      <w:proofErr w:type="gramEnd"/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 xml:space="preserve"> et al. // Arch. Pharm. Res. – 1997. – Vol.20, N5. – P.414–419.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36.</w:t>
      </w:r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 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Yeomans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N.D.,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Tulassay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Z., </w:t>
      </w:r>
      <w:proofErr w:type="spellStart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>Juhasz</w:t>
      </w:r>
      <w:proofErr w:type="spellEnd"/>
      <w:r w:rsidRPr="007F7306">
        <w:rPr>
          <w:rFonts w:ascii="Tahoma" w:eastAsia="Times New Roman" w:hAnsi="Tahoma" w:cs="Tahoma"/>
          <w:i/>
          <w:iCs/>
          <w:color w:val="354D59"/>
          <w:sz w:val="24"/>
          <w:szCs w:val="24"/>
          <w:lang w:val="en-US" w:eastAsia="ru-RU"/>
        </w:rPr>
        <w:t xml:space="preserve"> L. </w:t>
      </w: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et al. // N. Engl. J. Med. – 1998. – Vol.338, N11. – P.719–726.</w:t>
      </w:r>
    </w:p>
    <w:p w:rsidR="007F7306" w:rsidRPr="007F7306" w:rsidRDefault="007F7306" w:rsidP="007F7306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37. </w:t>
      </w:r>
      <w:hyperlink r:id="rId5" w:history="1">
        <w:r w:rsidRPr="007F7306">
          <w:rPr>
            <w:rFonts w:ascii="Tahoma" w:eastAsia="Times New Roman" w:hAnsi="Tahoma" w:cs="Tahoma"/>
            <w:i/>
            <w:iCs/>
            <w:color w:val="316F98"/>
            <w:sz w:val="24"/>
            <w:szCs w:val="24"/>
            <w:u w:val="single"/>
            <w:lang w:val="en-US" w:eastAsia="ru-RU"/>
          </w:rPr>
          <w:t>http://www.fda.gov/cder/drug/infopage/cox2/</w:t>
        </w:r>
      </w:hyperlink>
    </w:p>
    <w:p w:rsidR="007F7306" w:rsidRPr="007F7306" w:rsidRDefault="007F7306" w:rsidP="00F13E25">
      <w:pPr>
        <w:spacing w:after="0" w:line="240" w:lineRule="auto"/>
        <w:jc w:val="both"/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</w:pPr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38. </w:t>
      </w:r>
      <w:hyperlink r:id="rId6" w:history="1">
        <w:r w:rsidRPr="007F7306">
          <w:rPr>
            <w:rFonts w:ascii="Tahoma" w:eastAsia="Times New Roman" w:hAnsi="Tahoma" w:cs="Tahoma"/>
            <w:color w:val="316F98"/>
            <w:sz w:val="24"/>
            <w:szCs w:val="24"/>
            <w:u w:val="single"/>
            <w:lang w:val="en-US" w:eastAsia="ru-RU"/>
          </w:rPr>
          <w:t>http://www.provisor.com.ua/archive/2007/N11/me-chanism.php</w:t>
        </w:r>
      </w:hyperlink>
      <w:r w:rsidRPr="007F7306">
        <w:rPr>
          <w:rFonts w:ascii="Tahoma" w:eastAsia="Times New Roman" w:hAnsi="Tahoma" w:cs="Tahoma"/>
          <w:color w:val="354D59"/>
          <w:sz w:val="24"/>
          <w:szCs w:val="24"/>
          <w:lang w:val="en-US" w:eastAsia="ru-RU"/>
        </w:rPr>
        <w:t> </w:t>
      </w:r>
    </w:p>
    <w:p w:rsidR="00835472" w:rsidRPr="00F13E25" w:rsidRDefault="00835472" w:rsidP="007F7306">
      <w:pPr>
        <w:rPr>
          <w:lang w:val="en-US"/>
        </w:rPr>
      </w:pPr>
    </w:p>
    <w:sectPr w:rsidR="00835472" w:rsidRPr="00F1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0"/>
    <w:rsid w:val="005E2009"/>
    <w:rsid w:val="007F7306"/>
    <w:rsid w:val="00835472"/>
    <w:rsid w:val="00873CFE"/>
    <w:rsid w:val="008F73B0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F327-EB63-4159-A708-352A915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sor.com.ua/archive/2007/N11/me-chanism.php" TargetMode="External"/><Relationship Id="rId5" Type="http://schemas.openxmlformats.org/officeDocument/2006/relationships/hyperlink" Target="http://www.fda.gov/cder/drug/infopage/cox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2017-06-02T09:10:00Z</dcterms:created>
  <dcterms:modified xsi:type="dcterms:W3CDTF">2017-07-21T10:48:00Z</dcterms:modified>
</cp:coreProperties>
</file>